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AD15AE">
        <w:rPr>
          <w:rFonts w:ascii="Times New Roman" w:hAnsi="Times New Roman" w:cs="Times New Roman"/>
        </w:rPr>
        <w:t>Газетная</w:t>
      </w:r>
      <w:r>
        <w:rPr>
          <w:rFonts w:ascii="Times New Roman" w:hAnsi="Times New Roman" w:cs="Times New Roman"/>
        </w:rPr>
        <w:t xml:space="preserve"> д. </w:t>
      </w:r>
      <w:r w:rsidR="00AD15AE">
        <w:rPr>
          <w:rFonts w:ascii="Times New Roman" w:hAnsi="Times New Roman" w:cs="Times New Roman"/>
        </w:rPr>
        <w:t>89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AD15AE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скамейки у подъезда №1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AD15AE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деревьев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AD15AE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датчиков движения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ХВС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ГВС и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A27A65" w:rsidRDefault="00AD15AE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подъездов с установкой пластиковых окон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A27A65" w:rsidRDefault="00AD15AE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детской площадки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952110"/>
    <w:rsid w:val="00A27A65"/>
    <w:rsid w:val="00A810EF"/>
    <w:rsid w:val="00AA0D8A"/>
    <w:rsid w:val="00AD15AE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2014-01-17T05:46:00Z</dcterms:created>
  <dcterms:modified xsi:type="dcterms:W3CDTF">2014-01-17T05:46:00Z</dcterms:modified>
</cp:coreProperties>
</file>