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594A35">
        <w:t>32</w:t>
      </w:r>
      <w:r w:rsidR="007C4C02">
        <w:t xml:space="preserve"> </w:t>
      </w:r>
      <w:r w:rsidR="00160AFE">
        <w:t>по ул.</w:t>
      </w:r>
      <w:r w:rsidR="00D869FA">
        <w:t xml:space="preserve"> </w:t>
      </w:r>
      <w:r w:rsidR="007C4C02">
        <w:t>Мир</w:t>
      </w:r>
      <w:r>
        <w:t>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 w:rsidR="009A4604">
        <w:t>января</w:t>
      </w:r>
      <w:r w:rsidR="00160AFE">
        <w:t xml:space="preserve"> 201</w:t>
      </w:r>
      <w:r w:rsidR="009A4604">
        <w:t>5</w:t>
      </w:r>
      <w:r w:rsidR="00160AFE">
        <w:t xml:space="preserve"> года по «31» декабря 201</w:t>
      </w:r>
      <w:r w:rsidR="009A4604"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>шлакоблочный,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</w:t>
      </w:r>
      <w:r w:rsidR="007C4C02">
        <w:t>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594A35">
        <w:t>28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594A35">
        <w:t xml:space="preserve">2739 </w:t>
      </w:r>
      <w:r w:rsidR="00E343BD">
        <w:t xml:space="preserve"> </w:t>
      </w:r>
      <w:proofErr w:type="spellStart"/>
      <w:r w:rsidR="00E343BD">
        <w:t>кв.м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7C4C02">
        <w:t>557,1</w:t>
      </w:r>
      <w:r w:rsidR="00E343BD">
        <w:t xml:space="preserve">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</w:t>
      </w:r>
      <w:r w:rsidR="00594A35">
        <w:t>есть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благоустроенный</w:t>
      </w:r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08"/>
        <w:gridCol w:w="2369"/>
        <w:gridCol w:w="2934"/>
        <w:gridCol w:w="1558"/>
        <w:gridCol w:w="1971"/>
        <w:gridCol w:w="1700"/>
      </w:tblGrid>
      <w:tr w:rsidR="00C85492" w:rsidTr="009A4604">
        <w:tc>
          <w:tcPr>
            <w:tcW w:w="3357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2410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2977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59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70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9A4604">
        <w:trPr>
          <w:trHeight w:val="1627"/>
        </w:trPr>
        <w:tc>
          <w:tcPr>
            <w:tcW w:w="3357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410" w:type="dxa"/>
          </w:tcPr>
          <w:p w:rsidR="00C914A5" w:rsidRDefault="009A4604" w:rsidP="00160AFE">
            <w:pPr>
              <w:pStyle w:val="a3"/>
              <w:spacing w:line="168" w:lineRule="auto"/>
              <w:ind w:left="0"/>
              <w:jc w:val="center"/>
            </w:pPr>
            <w:r>
              <w:t>9,50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2977" w:type="dxa"/>
          </w:tcPr>
          <w:p w:rsidR="00160AFE" w:rsidRDefault="00160AFE" w:rsidP="001946DF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59" w:type="dxa"/>
          </w:tcPr>
          <w:p w:rsidR="00160AFE" w:rsidRDefault="009A4604" w:rsidP="00160AFE">
            <w:pPr>
              <w:pStyle w:val="a3"/>
              <w:spacing w:line="168" w:lineRule="auto"/>
              <w:ind w:left="0"/>
              <w:jc w:val="center"/>
            </w:pPr>
            <w:r>
              <w:t>133280,16</w:t>
            </w:r>
          </w:p>
        </w:tc>
        <w:tc>
          <w:tcPr>
            <w:tcW w:w="1985" w:type="dxa"/>
          </w:tcPr>
          <w:p w:rsidR="00160AFE" w:rsidRDefault="009A4604" w:rsidP="00160AFE">
            <w:pPr>
              <w:pStyle w:val="a3"/>
              <w:spacing w:line="168" w:lineRule="auto"/>
              <w:ind w:left="0"/>
              <w:jc w:val="center"/>
            </w:pPr>
            <w:r>
              <w:t>113288,13</w:t>
            </w:r>
          </w:p>
        </w:tc>
        <w:tc>
          <w:tcPr>
            <w:tcW w:w="1701" w:type="dxa"/>
          </w:tcPr>
          <w:p w:rsidR="00160AFE" w:rsidRDefault="009A4604" w:rsidP="00160AFE">
            <w:pPr>
              <w:pStyle w:val="a3"/>
              <w:spacing w:line="168" w:lineRule="auto"/>
              <w:ind w:left="0"/>
              <w:jc w:val="center"/>
            </w:pPr>
            <w:r>
              <w:t>19992,02</w:t>
            </w:r>
          </w:p>
        </w:tc>
      </w:tr>
      <w:tr w:rsidR="00C85492" w:rsidTr="009A4604">
        <w:tc>
          <w:tcPr>
            <w:tcW w:w="3357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410" w:type="dxa"/>
          </w:tcPr>
          <w:p w:rsidR="00160AFE" w:rsidRDefault="009A4604" w:rsidP="005D293A">
            <w:pPr>
              <w:pStyle w:val="a3"/>
              <w:spacing w:line="168" w:lineRule="auto"/>
              <w:ind w:left="0"/>
              <w:jc w:val="center"/>
            </w:pPr>
            <w:r>
              <w:t>8,20</w:t>
            </w:r>
            <w:r w:rsidR="00C914A5">
              <w:t xml:space="preserve"> </w:t>
            </w:r>
          </w:p>
        </w:tc>
        <w:tc>
          <w:tcPr>
            <w:tcW w:w="2977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  <w:p w:rsidR="00594A35" w:rsidRDefault="00594A3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98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  <w:p w:rsidR="00594A35" w:rsidRDefault="00594A3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9A4604">
        <w:tc>
          <w:tcPr>
            <w:tcW w:w="3357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>Доход от сдачи в аренду помещений, входящих в состав общего имущества</w:t>
            </w:r>
          </w:p>
        </w:tc>
        <w:tc>
          <w:tcPr>
            <w:tcW w:w="2410" w:type="dxa"/>
          </w:tcPr>
          <w:p w:rsidR="00F966F4" w:rsidRDefault="007C4C02" w:rsidP="00F966F4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  <w:r w:rsidR="00F966F4">
              <w:t xml:space="preserve"> </w:t>
            </w:r>
          </w:p>
        </w:tc>
        <w:tc>
          <w:tcPr>
            <w:tcW w:w="2977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59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98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9A4604">
        <w:tc>
          <w:tcPr>
            <w:tcW w:w="3357" w:type="dxa"/>
          </w:tcPr>
          <w:p w:rsidR="00C85492" w:rsidRDefault="00C85492" w:rsidP="00F966F4">
            <w:pPr>
              <w:pStyle w:val="a3"/>
              <w:spacing w:line="168" w:lineRule="auto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2410" w:type="dxa"/>
          </w:tcPr>
          <w:p w:rsidR="00F966F4" w:rsidRDefault="007C4C02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2977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59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98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</w:tbl>
    <w:p w:rsidR="00160AFE" w:rsidRDefault="00C85492" w:rsidP="00C85492">
      <w:pPr>
        <w:pStyle w:val="a3"/>
        <w:spacing w:line="168" w:lineRule="auto"/>
        <w:jc w:val="center"/>
      </w:pPr>
      <w:r>
        <w:lastRenderedPageBreak/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9A4604" w:rsidP="00B5420D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 xml:space="preserve">Замена запорной арматуры на розливе </w:t>
            </w:r>
            <w:r w:rsidR="00B5420D">
              <w:rPr>
                <w:iCs/>
              </w:rPr>
              <w:t>отопления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B5420D" w:rsidP="00643972">
            <w:pPr>
              <w:pStyle w:val="ConsPlusNormal"/>
              <w:widowControl/>
              <w:ind w:firstLine="0"/>
            </w:pPr>
            <w:r>
              <w:t>732,05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B5420D">
        <w:trPr>
          <w:cantSplit/>
          <w:trHeight w:val="187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9A4604" w:rsidP="00B5420D">
            <w:pPr>
              <w:pStyle w:val="ConsPlusNormal"/>
              <w:widowControl/>
              <w:ind w:firstLine="0"/>
            </w:pPr>
            <w:r>
              <w:t>Замена стояка ХВС по кв.</w:t>
            </w:r>
            <w:r w:rsidR="00B5420D">
              <w:t>1</w:t>
            </w:r>
            <w:r>
              <w:t>2</w:t>
            </w:r>
            <w:r w:rsidR="00B5420D">
              <w:t>,13,14</w:t>
            </w:r>
            <w:r w:rsidR="00594A35">
              <w:t xml:space="preserve">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B5420D" w:rsidP="00643972">
            <w:pPr>
              <w:pStyle w:val="ConsPlusNormal"/>
              <w:widowControl/>
              <w:ind w:firstLine="0"/>
            </w:pPr>
            <w:r>
              <w:t>9194,25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B5420D" w:rsidRPr="00361DB1" w:rsidTr="00B5420D">
        <w:trPr>
          <w:cantSplit/>
          <w:trHeight w:val="251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20D" w:rsidRPr="00361DB1" w:rsidRDefault="00B5420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20D" w:rsidRPr="00361DB1" w:rsidRDefault="00B5420D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20D" w:rsidRDefault="00B5420D" w:rsidP="00B5420D">
            <w:pPr>
              <w:pStyle w:val="ConsPlusNormal"/>
              <w:widowControl/>
              <w:ind w:firstLine="0"/>
            </w:pPr>
            <w:r>
              <w:t>Ремонт розлива ХВС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20D" w:rsidRDefault="00B5420D" w:rsidP="00643972">
            <w:pPr>
              <w:pStyle w:val="ConsPlusNormal"/>
              <w:widowControl/>
              <w:ind w:firstLine="0"/>
            </w:pPr>
            <w:r>
              <w:t>32214,25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20D" w:rsidRPr="00361DB1" w:rsidRDefault="00B5420D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594A35" w:rsidP="00643972">
            <w:pPr>
              <w:pStyle w:val="ConsPlusNormal"/>
              <w:widowControl/>
              <w:ind w:firstLine="0"/>
            </w:pPr>
            <w:r>
              <w:t>Работ не производилось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bookmarkStart w:id="0" w:name="_GoBack"/>
      <w:bookmarkEnd w:id="0"/>
      <w:r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594A35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</w:t>
      </w:r>
    </w:p>
    <w:p w:rsidR="006F5CEF" w:rsidRDefault="006F5CEF" w:rsidP="006F5CEF">
      <w:pPr>
        <w:pStyle w:val="a3"/>
        <w:spacing w:line="168" w:lineRule="auto"/>
        <w:jc w:val="both"/>
      </w:pPr>
      <w:r>
        <w:t xml:space="preserve">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</w:t>
      </w:r>
      <w:r w:rsidR="00C914A5">
        <w:t xml:space="preserve">установка замков </w:t>
      </w:r>
      <w:proofErr w:type="gramStart"/>
      <w:r w:rsidR="00C914A5">
        <w:t>на люка</w:t>
      </w:r>
      <w:proofErr w:type="gramEnd"/>
      <w:r w:rsidR="00C914A5">
        <w:t xml:space="preserve"> на выходы на чердак</w:t>
      </w:r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B401C0" w:rsidRDefault="00E343BD" w:rsidP="00B401C0">
      <w:pPr>
        <w:spacing w:line="168" w:lineRule="auto"/>
        <w:jc w:val="center"/>
      </w:pPr>
      <w:r>
        <w:lastRenderedPageBreak/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3"/>
        <w:gridCol w:w="3626"/>
        <w:gridCol w:w="3642"/>
        <w:gridCol w:w="3639"/>
      </w:tblGrid>
      <w:tr w:rsidR="00E34D03" w:rsidTr="007C4C02">
        <w:trPr>
          <w:trHeight w:val="577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9A4604" w:rsidP="00E343BD">
            <w:pPr>
              <w:spacing w:line="168" w:lineRule="auto"/>
              <w:jc w:val="center"/>
            </w:pPr>
            <w:r>
              <w:t>65837,43</w:t>
            </w:r>
          </w:p>
        </w:tc>
        <w:tc>
          <w:tcPr>
            <w:tcW w:w="3697" w:type="dxa"/>
          </w:tcPr>
          <w:p w:rsidR="00E34D03" w:rsidRDefault="009A4604" w:rsidP="00B401C0">
            <w:pPr>
              <w:spacing w:line="168" w:lineRule="auto"/>
              <w:jc w:val="center"/>
            </w:pPr>
            <w:r>
              <w:t>55961,81</w:t>
            </w:r>
          </w:p>
        </w:tc>
        <w:tc>
          <w:tcPr>
            <w:tcW w:w="3697" w:type="dxa"/>
          </w:tcPr>
          <w:p w:rsidR="00E34D03" w:rsidRDefault="009A4604" w:rsidP="00B401C0">
            <w:pPr>
              <w:spacing w:line="168" w:lineRule="auto"/>
              <w:jc w:val="center"/>
            </w:pPr>
            <w:r>
              <w:t>9875,61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9A4604" w:rsidP="00B401C0">
            <w:pPr>
              <w:spacing w:line="168" w:lineRule="auto"/>
              <w:jc w:val="center"/>
            </w:pPr>
            <w:r>
              <w:t>452644,42</w:t>
            </w:r>
          </w:p>
        </w:tc>
        <w:tc>
          <w:tcPr>
            <w:tcW w:w="3697" w:type="dxa"/>
          </w:tcPr>
          <w:p w:rsidR="00E34D03" w:rsidRDefault="009A4604" w:rsidP="00B401C0">
            <w:pPr>
              <w:spacing w:line="168" w:lineRule="auto"/>
              <w:jc w:val="center"/>
            </w:pPr>
            <w:r>
              <w:t>384747,75</w:t>
            </w:r>
          </w:p>
        </w:tc>
        <w:tc>
          <w:tcPr>
            <w:tcW w:w="3697" w:type="dxa"/>
          </w:tcPr>
          <w:p w:rsidR="00E34D03" w:rsidRDefault="009A4604" w:rsidP="00B401C0">
            <w:pPr>
              <w:spacing w:line="168" w:lineRule="auto"/>
              <w:jc w:val="center"/>
            </w:pPr>
            <w:r>
              <w:t>67896,66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9A4604" w:rsidP="00B401C0">
            <w:pPr>
              <w:spacing w:line="168" w:lineRule="auto"/>
              <w:jc w:val="center"/>
            </w:pPr>
            <w:r>
              <w:t>30827,76</w:t>
            </w:r>
          </w:p>
        </w:tc>
        <w:tc>
          <w:tcPr>
            <w:tcW w:w="3697" w:type="dxa"/>
          </w:tcPr>
          <w:p w:rsidR="005B3AD8" w:rsidRDefault="009A4604" w:rsidP="00B401C0">
            <w:pPr>
              <w:spacing w:line="168" w:lineRule="auto"/>
              <w:jc w:val="center"/>
            </w:pPr>
            <w:r>
              <w:t>26203,59</w:t>
            </w:r>
          </w:p>
        </w:tc>
        <w:tc>
          <w:tcPr>
            <w:tcW w:w="3697" w:type="dxa"/>
          </w:tcPr>
          <w:p w:rsidR="005B3AD8" w:rsidRDefault="009A4604" w:rsidP="00B401C0">
            <w:pPr>
              <w:spacing w:line="168" w:lineRule="auto"/>
              <w:jc w:val="center"/>
            </w:pPr>
            <w:r>
              <w:t>4624,16</w:t>
            </w:r>
          </w:p>
        </w:tc>
      </w:tr>
    </w:tbl>
    <w:p w:rsidR="00AA6688" w:rsidRDefault="00AA6688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9A4604">
        <w:t>6</w:t>
      </w:r>
      <w:r>
        <w:t xml:space="preserve"> год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</w:t>
      </w:r>
      <w:r w:rsidR="00AA6688" w:rsidRPr="00AA6688">
        <w:t xml:space="preserve"> и планируемых накоплений  </w:t>
      </w:r>
      <w:r>
        <w:t>ООО «УК Центр-НТ»</w:t>
      </w:r>
      <w:r w:rsidR="00AA6688">
        <w:t xml:space="preserve"> </w:t>
      </w:r>
      <w:r>
        <w:t>рекомендует для собственников производство следующих видов работ:</w:t>
      </w:r>
    </w:p>
    <w:p w:rsidR="00AA6688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</w:t>
      </w:r>
      <w:r w:rsidR="009A4604">
        <w:t>6</w:t>
      </w:r>
      <w:r w:rsidR="005B3AD8">
        <w:t xml:space="preserve"> год</w:t>
      </w:r>
      <w:r w:rsidR="00AA6688">
        <w:t xml:space="preserve"> </w:t>
      </w:r>
      <w:r>
        <w:t>–</w:t>
      </w:r>
      <w:r w:rsidR="00AA6688">
        <w:t xml:space="preserve"> </w:t>
      </w:r>
      <w:r w:rsidR="00594A35">
        <w:t>замена розлива ХВС с запорной арматурой</w:t>
      </w:r>
    </w:p>
    <w:p w:rsidR="005B3AD8" w:rsidRDefault="005B3AD8" w:rsidP="00E343BD">
      <w:pPr>
        <w:spacing w:line="168" w:lineRule="auto"/>
        <w:ind w:firstLine="708"/>
        <w:jc w:val="both"/>
      </w:pPr>
      <w:r>
        <w:t>Работы по капитальному ремонту на 201</w:t>
      </w:r>
      <w:r w:rsidR="009A4604">
        <w:t>6</w:t>
      </w:r>
      <w:r>
        <w:t xml:space="preserve"> год – </w:t>
      </w:r>
      <w:r w:rsidR="00AA6688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183FFA">
        <w:t>102388</w:t>
      </w:r>
      <w:r>
        <w:t xml:space="preserve">руб. </w:t>
      </w:r>
      <w:r w:rsidR="00183FFA">
        <w:t>45</w:t>
      </w:r>
      <w:r>
        <w:t xml:space="preserve"> </w:t>
      </w:r>
      <w:proofErr w:type="gramStart"/>
      <w:r>
        <w:t>коп.</w:t>
      </w:r>
      <w:r w:rsidR="005B3AD8">
        <w:t>,</w:t>
      </w:r>
      <w:proofErr w:type="gramEnd"/>
      <w:r w:rsidR="005B3AD8"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E"/>
    <w:rsid w:val="0012505C"/>
    <w:rsid w:val="0015180E"/>
    <w:rsid w:val="00160AFE"/>
    <w:rsid w:val="00183FFA"/>
    <w:rsid w:val="001946DF"/>
    <w:rsid w:val="00213307"/>
    <w:rsid w:val="00422A80"/>
    <w:rsid w:val="00594A35"/>
    <w:rsid w:val="005A1385"/>
    <w:rsid w:val="005B3AD8"/>
    <w:rsid w:val="005D293A"/>
    <w:rsid w:val="00677DEF"/>
    <w:rsid w:val="006F5CEF"/>
    <w:rsid w:val="007C4C02"/>
    <w:rsid w:val="008B1389"/>
    <w:rsid w:val="0096241F"/>
    <w:rsid w:val="009A4604"/>
    <w:rsid w:val="00AA6688"/>
    <w:rsid w:val="00B401C0"/>
    <w:rsid w:val="00B5420D"/>
    <w:rsid w:val="00B65D36"/>
    <w:rsid w:val="00C85492"/>
    <w:rsid w:val="00C914A5"/>
    <w:rsid w:val="00D11CFE"/>
    <w:rsid w:val="00D869FA"/>
    <w:rsid w:val="00E343BD"/>
    <w:rsid w:val="00E34D03"/>
    <w:rsid w:val="00F966F4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35B14-3AF1-40AA-BAF8-6BB4EB1C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BDD4-470E-4B1B-9B11-BCA44F35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3</cp:revision>
  <cp:lastPrinted>2016-04-05T11:02:00Z</cp:lastPrinted>
  <dcterms:created xsi:type="dcterms:W3CDTF">2016-04-05T11:00:00Z</dcterms:created>
  <dcterms:modified xsi:type="dcterms:W3CDTF">2016-04-05T11:02:00Z</dcterms:modified>
</cp:coreProperties>
</file>